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10508" w:type="dxa"/>
        <w:tblInd w:w="108" w:type="dxa"/>
        <w:tblLayout w:type="fixed"/>
        <w:tblLook w:val="0000" w:firstRow="0" w:lastRow="0" w:firstColumn="0" w:lastColumn="0" w:noHBand="0" w:noVBand="0"/>
      </w:tblPr>
      <w:tblGrid>
        <w:gridCol w:w="1212"/>
        <w:gridCol w:w="2425"/>
        <w:gridCol w:w="1212"/>
        <w:gridCol w:w="1819"/>
        <w:gridCol w:w="3840"/>
      </w:tblGrid>
      <w:tr w:rsidR="00424A5A" w:rsidRPr="005E6BB7" w14:paraId="65F44579" w14:textId="77777777" w:rsidTr="005E6BB7">
        <w:trPr>
          <w:trHeight w:val="496"/>
        </w:trPr>
        <w:tc>
          <w:tcPr>
            <w:tcW w:w="1212" w:type="dxa"/>
            <w:vAlign w:val="center"/>
          </w:tcPr>
          <w:p w14:paraId="721180BC" w14:textId="77777777" w:rsidR="00424A5A" w:rsidRPr="005E6BB7" w:rsidRDefault="00424A5A" w:rsidP="003560E2">
            <w:pPr>
              <w:spacing w:before="40"/>
              <w:jc w:val="right"/>
              <w:rPr>
                <w:rFonts w:ascii="Tahoma" w:hAnsi="Tahoma" w:cs="Tahoma"/>
                <w:sz w:val="16"/>
                <w:szCs w:val="16"/>
              </w:rPr>
            </w:pPr>
            <w:r w:rsidRPr="005E6BB7">
              <w:rPr>
                <w:rFonts w:ascii="Tahoma" w:hAnsi="Tahoma" w:cs="Tahoma"/>
                <w:sz w:val="16"/>
                <w:szCs w:val="16"/>
              </w:rPr>
              <w:t>Številka:</w:t>
            </w:r>
          </w:p>
        </w:tc>
        <w:tc>
          <w:tcPr>
            <w:tcW w:w="2425" w:type="dxa"/>
            <w:vAlign w:val="center"/>
          </w:tcPr>
          <w:p w14:paraId="2484A77B" w14:textId="5810BB82" w:rsidR="00424A5A" w:rsidRPr="005E6BB7" w:rsidRDefault="0092418D" w:rsidP="00A366BE">
            <w:pPr>
              <w:spacing w:before="40"/>
              <w:rPr>
                <w:rFonts w:ascii="Tahoma" w:hAnsi="Tahoma" w:cs="Tahoma"/>
                <w:sz w:val="16"/>
                <w:szCs w:val="16"/>
              </w:rPr>
            </w:pPr>
            <w:r w:rsidRPr="005E6BB7">
              <w:rPr>
                <w:rFonts w:ascii="Tahoma" w:hAnsi="Tahoma" w:cs="Tahoma"/>
                <w:sz w:val="16"/>
                <w:szCs w:val="16"/>
                <w:shd w:val="clear" w:color="auto" w:fill="FFFFFF"/>
              </w:rPr>
              <w:t>43001-7/2024</w:t>
            </w:r>
          </w:p>
        </w:tc>
        <w:tc>
          <w:tcPr>
            <w:tcW w:w="1212" w:type="dxa"/>
            <w:vAlign w:val="center"/>
          </w:tcPr>
          <w:p w14:paraId="1019E4D7" w14:textId="77777777" w:rsidR="00424A5A" w:rsidRPr="005E6BB7" w:rsidRDefault="00424A5A" w:rsidP="003560E2">
            <w:pPr>
              <w:spacing w:before="40"/>
              <w:rPr>
                <w:rFonts w:ascii="Tahoma" w:hAnsi="Tahoma" w:cs="Tahoma"/>
                <w:sz w:val="16"/>
                <w:szCs w:val="16"/>
              </w:rPr>
            </w:pPr>
          </w:p>
        </w:tc>
        <w:tc>
          <w:tcPr>
            <w:tcW w:w="1819" w:type="dxa"/>
            <w:vAlign w:val="center"/>
          </w:tcPr>
          <w:p w14:paraId="6AAFD743" w14:textId="77777777" w:rsidR="0092418D" w:rsidRPr="005E6BB7" w:rsidRDefault="0092418D" w:rsidP="0092418D">
            <w:pPr>
              <w:spacing w:before="40"/>
              <w:rPr>
                <w:rFonts w:ascii="Tahoma" w:hAnsi="Tahoma" w:cs="Tahoma"/>
                <w:sz w:val="16"/>
                <w:szCs w:val="16"/>
              </w:rPr>
            </w:pPr>
            <w:r w:rsidRPr="005E6BB7">
              <w:rPr>
                <w:rFonts w:ascii="Tahoma" w:hAnsi="Tahoma" w:cs="Tahoma"/>
                <w:sz w:val="16"/>
                <w:szCs w:val="16"/>
              </w:rPr>
              <w:t xml:space="preserve">         </w:t>
            </w:r>
            <w:r w:rsidR="00424A5A" w:rsidRPr="005E6BB7">
              <w:rPr>
                <w:rFonts w:ascii="Tahoma" w:hAnsi="Tahoma" w:cs="Tahoma"/>
                <w:sz w:val="16"/>
                <w:szCs w:val="16"/>
              </w:rPr>
              <w:t xml:space="preserve">oznaka </w:t>
            </w:r>
            <w:r w:rsidRPr="005E6BB7">
              <w:rPr>
                <w:rFonts w:ascii="Tahoma" w:hAnsi="Tahoma" w:cs="Tahoma"/>
                <w:sz w:val="16"/>
                <w:szCs w:val="16"/>
              </w:rPr>
              <w:t xml:space="preserve">  </w:t>
            </w:r>
          </w:p>
          <w:p w14:paraId="4C6CC6B3" w14:textId="3288F6A4" w:rsidR="00424A5A" w:rsidRPr="005E6BB7" w:rsidRDefault="0092418D" w:rsidP="0092418D">
            <w:pPr>
              <w:spacing w:before="40"/>
              <w:rPr>
                <w:rFonts w:ascii="Tahoma" w:hAnsi="Tahoma" w:cs="Tahoma"/>
                <w:sz w:val="16"/>
                <w:szCs w:val="16"/>
              </w:rPr>
            </w:pPr>
            <w:r w:rsidRPr="005E6BB7">
              <w:rPr>
                <w:rFonts w:ascii="Tahoma" w:hAnsi="Tahoma" w:cs="Tahoma"/>
                <w:sz w:val="16"/>
                <w:szCs w:val="16"/>
              </w:rPr>
              <w:t xml:space="preserve">         na</w:t>
            </w:r>
            <w:r w:rsidR="00424A5A" w:rsidRPr="005E6BB7">
              <w:rPr>
                <w:rFonts w:ascii="Tahoma" w:hAnsi="Tahoma" w:cs="Tahoma"/>
                <w:sz w:val="16"/>
                <w:szCs w:val="16"/>
              </w:rPr>
              <w:t>ročila:</w:t>
            </w:r>
            <w:r w:rsidR="005E6BB7">
              <w:rPr>
                <w:rFonts w:ascii="Tahoma" w:hAnsi="Tahoma" w:cs="Tahoma"/>
                <w:sz w:val="16"/>
                <w:szCs w:val="16"/>
              </w:rPr>
              <w:t xml:space="preserve"> U-6/24</w:t>
            </w:r>
          </w:p>
        </w:tc>
        <w:tc>
          <w:tcPr>
            <w:tcW w:w="3840" w:type="dxa"/>
            <w:vAlign w:val="center"/>
          </w:tcPr>
          <w:p w14:paraId="040F9C85" w14:textId="640D6AE4" w:rsidR="00424A5A" w:rsidRPr="005E6BB7" w:rsidRDefault="00424A5A" w:rsidP="007833E8">
            <w:pPr>
              <w:spacing w:before="40"/>
              <w:rPr>
                <w:rFonts w:ascii="Tahoma" w:hAnsi="Tahoma" w:cs="Tahoma"/>
                <w:color w:val="FF0000"/>
                <w:sz w:val="16"/>
                <w:szCs w:val="16"/>
              </w:rPr>
            </w:pPr>
          </w:p>
        </w:tc>
      </w:tr>
      <w:tr w:rsidR="00424A5A" w:rsidRPr="005E6BB7" w14:paraId="5EA1A9D0" w14:textId="77777777" w:rsidTr="005E6BB7">
        <w:trPr>
          <w:trHeight w:val="242"/>
        </w:trPr>
        <w:tc>
          <w:tcPr>
            <w:tcW w:w="1212" w:type="dxa"/>
            <w:vAlign w:val="center"/>
          </w:tcPr>
          <w:p w14:paraId="671A24C5" w14:textId="76E22025" w:rsidR="00424A5A" w:rsidRPr="005E6BB7" w:rsidRDefault="00424A5A" w:rsidP="003560E2">
            <w:pPr>
              <w:spacing w:before="40"/>
              <w:jc w:val="right"/>
              <w:rPr>
                <w:rFonts w:ascii="Tahoma" w:hAnsi="Tahoma" w:cs="Tahoma"/>
                <w:sz w:val="16"/>
                <w:szCs w:val="16"/>
              </w:rPr>
            </w:pPr>
            <w:r w:rsidRPr="005E6BB7">
              <w:rPr>
                <w:rFonts w:ascii="Tahoma" w:hAnsi="Tahoma" w:cs="Tahoma"/>
                <w:sz w:val="16"/>
                <w:szCs w:val="16"/>
              </w:rPr>
              <w:t>Datum:</w:t>
            </w:r>
          </w:p>
        </w:tc>
        <w:tc>
          <w:tcPr>
            <w:tcW w:w="2425" w:type="dxa"/>
            <w:vAlign w:val="center"/>
          </w:tcPr>
          <w:p w14:paraId="71019665" w14:textId="6125C91B" w:rsidR="00424A5A" w:rsidRPr="005E6BB7" w:rsidRDefault="00B305D7" w:rsidP="00B305D7">
            <w:pPr>
              <w:spacing w:before="40"/>
              <w:rPr>
                <w:rFonts w:ascii="Tahoma" w:hAnsi="Tahoma" w:cs="Tahoma"/>
                <w:sz w:val="16"/>
                <w:szCs w:val="16"/>
              </w:rPr>
            </w:pPr>
            <w:r w:rsidRPr="005E6BB7">
              <w:rPr>
                <w:rFonts w:ascii="Tahoma" w:hAnsi="Tahoma" w:cs="Tahoma"/>
                <w:sz w:val="16"/>
                <w:szCs w:val="16"/>
              </w:rPr>
              <w:t>0</w:t>
            </w:r>
            <w:r w:rsidR="005E6BB7" w:rsidRPr="005E6BB7">
              <w:rPr>
                <w:rFonts w:ascii="Tahoma" w:hAnsi="Tahoma" w:cs="Tahoma"/>
                <w:sz w:val="16"/>
                <w:szCs w:val="16"/>
              </w:rPr>
              <w:t>8</w:t>
            </w:r>
            <w:r w:rsidRPr="005E6BB7">
              <w:rPr>
                <w:rFonts w:ascii="Tahoma" w:hAnsi="Tahoma" w:cs="Tahoma"/>
                <w:sz w:val="16"/>
                <w:szCs w:val="16"/>
              </w:rPr>
              <w:t>.03.</w:t>
            </w:r>
            <w:r w:rsidR="0092418D" w:rsidRPr="005E6BB7">
              <w:rPr>
                <w:rFonts w:ascii="Tahoma" w:hAnsi="Tahoma" w:cs="Tahoma"/>
                <w:sz w:val="16"/>
                <w:szCs w:val="16"/>
              </w:rPr>
              <w:t>2024</w:t>
            </w:r>
          </w:p>
        </w:tc>
        <w:tc>
          <w:tcPr>
            <w:tcW w:w="1212" w:type="dxa"/>
            <w:vAlign w:val="center"/>
          </w:tcPr>
          <w:p w14:paraId="64F3920E" w14:textId="77777777" w:rsidR="00424A5A" w:rsidRPr="005E6BB7" w:rsidRDefault="00424A5A" w:rsidP="003560E2">
            <w:pPr>
              <w:spacing w:before="40"/>
              <w:rPr>
                <w:rFonts w:ascii="Tahoma" w:hAnsi="Tahoma" w:cs="Tahoma"/>
                <w:sz w:val="16"/>
                <w:szCs w:val="16"/>
              </w:rPr>
            </w:pPr>
          </w:p>
        </w:tc>
        <w:tc>
          <w:tcPr>
            <w:tcW w:w="1819" w:type="dxa"/>
            <w:vAlign w:val="center"/>
          </w:tcPr>
          <w:p w14:paraId="6F371C8B" w14:textId="77777777" w:rsidR="00424A5A" w:rsidRPr="005E6BB7" w:rsidRDefault="00424A5A" w:rsidP="005E6BB7">
            <w:pPr>
              <w:spacing w:before="40"/>
              <w:jc w:val="center"/>
              <w:rPr>
                <w:rFonts w:ascii="Tahoma" w:hAnsi="Tahoma" w:cs="Tahoma"/>
                <w:sz w:val="16"/>
                <w:szCs w:val="16"/>
              </w:rPr>
            </w:pPr>
            <w:r w:rsidRPr="005E6BB7">
              <w:rPr>
                <w:rFonts w:ascii="Tahoma" w:hAnsi="Tahoma" w:cs="Tahoma"/>
                <w:sz w:val="16"/>
                <w:szCs w:val="16"/>
              </w:rPr>
              <w:t>MFERAC:</w:t>
            </w:r>
          </w:p>
        </w:tc>
        <w:tc>
          <w:tcPr>
            <w:tcW w:w="3840" w:type="dxa"/>
            <w:vAlign w:val="center"/>
          </w:tcPr>
          <w:p w14:paraId="304EEB32" w14:textId="502A846B" w:rsidR="00424A5A" w:rsidRPr="005E6BB7" w:rsidRDefault="00FB2FA4" w:rsidP="0092418D">
            <w:pPr>
              <w:spacing w:before="40"/>
              <w:rPr>
                <w:rFonts w:ascii="Tahoma" w:hAnsi="Tahoma" w:cs="Tahoma"/>
                <w:sz w:val="16"/>
                <w:szCs w:val="16"/>
              </w:rPr>
            </w:pPr>
            <w:r w:rsidRPr="005E6BB7">
              <w:rPr>
                <w:rFonts w:ascii="Tahoma" w:hAnsi="Tahoma" w:cs="Tahoma"/>
                <w:sz w:val="16"/>
                <w:szCs w:val="16"/>
              </w:rPr>
              <w:t>2431-2</w:t>
            </w:r>
            <w:r w:rsidR="0092418D" w:rsidRPr="005E6BB7">
              <w:rPr>
                <w:rFonts w:ascii="Tahoma" w:hAnsi="Tahoma" w:cs="Tahoma"/>
                <w:sz w:val="16"/>
                <w:szCs w:val="16"/>
              </w:rPr>
              <w:t>4</w:t>
            </w:r>
            <w:r w:rsidRPr="005E6BB7">
              <w:rPr>
                <w:rFonts w:ascii="Tahoma" w:hAnsi="Tahoma" w:cs="Tahoma"/>
                <w:sz w:val="16"/>
                <w:szCs w:val="16"/>
              </w:rPr>
              <w:t>-00</w:t>
            </w:r>
            <w:r w:rsidR="007833E8" w:rsidRPr="005E6BB7">
              <w:rPr>
                <w:rFonts w:ascii="Tahoma" w:hAnsi="Tahoma" w:cs="Tahoma"/>
                <w:sz w:val="16"/>
                <w:szCs w:val="16"/>
              </w:rPr>
              <w:t>0</w:t>
            </w:r>
            <w:r w:rsidR="0092418D" w:rsidRPr="005E6BB7">
              <w:rPr>
                <w:rFonts w:ascii="Tahoma" w:hAnsi="Tahoma" w:cs="Tahoma"/>
                <w:sz w:val="16"/>
                <w:szCs w:val="16"/>
              </w:rPr>
              <w:t>049</w:t>
            </w:r>
            <w:r w:rsidRPr="005E6BB7">
              <w:rPr>
                <w:rFonts w:ascii="Tahoma" w:hAnsi="Tahoma" w:cs="Tahoma"/>
                <w:sz w:val="16"/>
                <w:szCs w:val="16"/>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92418D" w14:paraId="6507C916" w14:textId="77777777" w:rsidTr="00BF1A18">
        <w:trPr>
          <w:trHeight w:val="648"/>
        </w:trPr>
        <w:tc>
          <w:tcPr>
            <w:tcW w:w="9288" w:type="dxa"/>
          </w:tcPr>
          <w:p w14:paraId="71D726C9" w14:textId="77777777" w:rsidR="007833E8" w:rsidRPr="0092418D" w:rsidRDefault="007833E8" w:rsidP="007833E8">
            <w:pPr>
              <w:pStyle w:val="Konnaopomba-besedilo"/>
              <w:jc w:val="both"/>
              <w:rPr>
                <w:rFonts w:ascii="Tahoma" w:hAnsi="Tahoma" w:cs="Tahoma"/>
                <w:b/>
                <w:szCs w:val="20"/>
              </w:rPr>
            </w:pPr>
            <w:r w:rsidRPr="0092418D">
              <w:rPr>
                <w:rFonts w:ascii="Tahoma" w:hAnsi="Tahoma" w:cs="Tahoma"/>
                <w:b/>
                <w:szCs w:val="20"/>
              </w:rPr>
              <w:t>Predmet naročila:</w:t>
            </w:r>
          </w:p>
          <w:p w14:paraId="43773269" w14:textId="77777777" w:rsidR="00160920" w:rsidRPr="0092418D" w:rsidRDefault="00160920" w:rsidP="007833E8">
            <w:pPr>
              <w:pStyle w:val="Konnaopomba-besedilo"/>
              <w:jc w:val="both"/>
              <w:rPr>
                <w:rFonts w:ascii="Tahoma" w:hAnsi="Tahoma" w:cs="Tahoma"/>
                <w:b/>
                <w:szCs w:val="20"/>
              </w:rPr>
            </w:pPr>
          </w:p>
          <w:p w14:paraId="128074A6" w14:textId="4039C9C8" w:rsidR="00E813F4" w:rsidRPr="0092418D" w:rsidRDefault="00BF1A18" w:rsidP="00AD3B02">
            <w:pPr>
              <w:pStyle w:val="Konnaopomba-besedilo"/>
              <w:jc w:val="both"/>
              <w:rPr>
                <w:rFonts w:ascii="Tahoma" w:hAnsi="Tahoma" w:cs="Tahoma"/>
                <w:b/>
                <w:szCs w:val="20"/>
              </w:rPr>
            </w:pPr>
            <w:r w:rsidRPr="0092418D">
              <w:rPr>
                <w:rFonts w:ascii="Tahoma" w:hAnsi="Tahoma" w:cs="Tahoma"/>
                <w:b/>
                <w:szCs w:val="20"/>
              </w:rPr>
              <w:t xml:space="preserve">UJMA 2023 </w:t>
            </w:r>
            <w:r w:rsidR="00160920" w:rsidRPr="0092418D">
              <w:rPr>
                <w:rFonts w:ascii="Tahoma" w:hAnsi="Tahoma" w:cs="Tahoma"/>
                <w:b/>
                <w:szCs w:val="20"/>
              </w:rPr>
              <w:t>–</w:t>
            </w:r>
            <w:r w:rsidRPr="0092418D">
              <w:rPr>
                <w:rFonts w:ascii="Tahoma" w:hAnsi="Tahoma" w:cs="Tahoma"/>
                <w:b/>
                <w:szCs w:val="20"/>
              </w:rPr>
              <w:t xml:space="preserve"> </w:t>
            </w:r>
            <w:r w:rsidR="0092418D" w:rsidRPr="0092418D">
              <w:rPr>
                <w:rFonts w:ascii="Tahoma" w:hAnsi="Tahoma" w:cs="Tahoma"/>
                <w:b/>
                <w:szCs w:val="20"/>
              </w:rPr>
              <w:t xml:space="preserve">Novogradnja mostov čez </w:t>
            </w:r>
            <w:proofErr w:type="spellStart"/>
            <w:r w:rsidR="0092418D" w:rsidRPr="0092418D">
              <w:rPr>
                <w:rFonts w:ascii="Tahoma" w:hAnsi="Tahoma" w:cs="Tahoma"/>
                <w:b/>
                <w:szCs w:val="20"/>
              </w:rPr>
              <w:t>Borosni</w:t>
            </w:r>
            <w:proofErr w:type="spellEnd"/>
            <w:r w:rsidR="0092418D" w:rsidRPr="0092418D">
              <w:rPr>
                <w:rFonts w:ascii="Tahoma" w:hAnsi="Tahoma" w:cs="Tahoma"/>
                <w:b/>
                <w:szCs w:val="20"/>
              </w:rPr>
              <w:t xml:space="preserve"> (MS0222) in </w:t>
            </w:r>
            <w:proofErr w:type="spellStart"/>
            <w:r w:rsidR="0092418D" w:rsidRPr="0092418D">
              <w:rPr>
                <w:rFonts w:ascii="Tahoma" w:hAnsi="Tahoma" w:cs="Tahoma"/>
                <w:b/>
                <w:szCs w:val="20"/>
              </w:rPr>
              <w:t>Kobiljski</w:t>
            </w:r>
            <w:proofErr w:type="spellEnd"/>
            <w:r w:rsidR="0092418D" w:rsidRPr="0092418D">
              <w:rPr>
                <w:rFonts w:ascii="Tahoma" w:hAnsi="Tahoma" w:cs="Tahoma"/>
                <w:b/>
                <w:szCs w:val="20"/>
              </w:rPr>
              <w:t xml:space="preserve"> potok (MS0221)  v Mostju na R2-442/1319 v km 9,860 in 9,710</w:t>
            </w:r>
          </w:p>
        </w:tc>
      </w:tr>
    </w:tbl>
    <w:p w14:paraId="4EB52737" w14:textId="77777777" w:rsidR="00E813F4" w:rsidRPr="0092418D" w:rsidRDefault="00E813F4" w:rsidP="00E813F4">
      <w:pPr>
        <w:pStyle w:val="Konnaopomba-besedilo"/>
        <w:jc w:val="both"/>
        <w:rPr>
          <w:rFonts w:ascii="Tahoma" w:hAnsi="Tahoma" w:cs="Tahoma"/>
          <w:szCs w:val="20"/>
        </w:rPr>
      </w:pPr>
    </w:p>
    <w:p w14:paraId="151E0E57" w14:textId="77777777" w:rsidR="009675C0" w:rsidRDefault="009675C0" w:rsidP="002B0ED1">
      <w:pPr>
        <w:jc w:val="both"/>
        <w:rPr>
          <w:rFonts w:ascii="Tahoma" w:hAnsi="Tahoma" w:cs="Tahoma"/>
          <w:sz w:val="20"/>
          <w:szCs w:val="20"/>
        </w:rPr>
      </w:pPr>
    </w:p>
    <w:p w14:paraId="2D7CF7EE" w14:textId="3D18CEF6" w:rsidR="009675C0" w:rsidRDefault="009675C0" w:rsidP="009675C0">
      <w:pPr>
        <w:jc w:val="both"/>
        <w:rPr>
          <w:rFonts w:ascii="Tahoma" w:hAnsi="Tahoma" w:cs="Tahoma"/>
          <w:b/>
          <w:bCs/>
          <w:sz w:val="20"/>
          <w:szCs w:val="20"/>
        </w:rPr>
      </w:pPr>
      <w:r w:rsidRPr="009675C0">
        <w:rPr>
          <w:rFonts w:ascii="Tahoma" w:hAnsi="Tahoma" w:cs="Tahoma"/>
          <w:b/>
          <w:bCs/>
          <w:sz w:val="20"/>
          <w:szCs w:val="20"/>
        </w:rPr>
        <w:t xml:space="preserve">2.1 Vsebina in cilji naročila </w:t>
      </w:r>
    </w:p>
    <w:tbl>
      <w:tblPr>
        <w:tblpPr w:leftFromText="141" w:rightFromText="141" w:vertAnchor="text" w:horzAnchor="margin" w:tblpX="108" w:tblpY="112"/>
        <w:tblW w:w="9322" w:type="dxa"/>
        <w:tblLayout w:type="fixed"/>
        <w:tblLook w:val="0000" w:firstRow="0" w:lastRow="0" w:firstColumn="0" w:lastColumn="0" w:noHBand="0" w:noVBand="0"/>
      </w:tblPr>
      <w:tblGrid>
        <w:gridCol w:w="9322"/>
      </w:tblGrid>
      <w:tr w:rsidR="001B4C32" w:rsidRPr="001B4C32" w14:paraId="788E870C" w14:textId="77777777" w:rsidTr="001B4C32">
        <w:trPr>
          <w:cantSplit/>
          <w:trHeight w:val="2958"/>
        </w:trPr>
        <w:tc>
          <w:tcPr>
            <w:tcW w:w="9322" w:type="dxa"/>
          </w:tcPr>
          <w:p w14:paraId="013D8D0E" w14:textId="77777777" w:rsidR="001B4C32" w:rsidRPr="001B4C32" w:rsidRDefault="001B4C32" w:rsidP="001B4C32">
            <w:pPr>
              <w:pStyle w:val="len"/>
              <w:keepNext w:val="0"/>
              <w:pBdr>
                <w:top w:val="none" w:sz="0" w:space="0" w:color="auto"/>
                <w:left w:val="none" w:sz="0" w:space="0" w:color="auto"/>
                <w:bottom w:val="none" w:sz="0" w:space="0" w:color="auto"/>
                <w:right w:val="none" w:sz="0" w:space="0" w:color="auto"/>
              </w:pBdr>
              <w:spacing w:before="120" w:line="240" w:lineRule="atLeast"/>
              <w:ind w:left="-142" w:right="0" w:firstLine="142"/>
              <w:jc w:val="left"/>
              <w:rPr>
                <w:rFonts w:cs="Tahoma"/>
                <w:sz w:val="20"/>
                <w:szCs w:val="20"/>
              </w:rPr>
            </w:pPr>
            <w:r w:rsidRPr="001B4C32">
              <w:rPr>
                <w:rFonts w:cs="Tahoma"/>
                <w:sz w:val="20"/>
                <w:szCs w:val="20"/>
              </w:rPr>
              <w:t xml:space="preserve">Most čez </w:t>
            </w:r>
            <w:proofErr w:type="spellStart"/>
            <w:r w:rsidRPr="001B4C32">
              <w:rPr>
                <w:rFonts w:cs="Tahoma"/>
                <w:sz w:val="20"/>
                <w:szCs w:val="20"/>
              </w:rPr>
              <w:t>Borosni</w:t>
            </w:r>
            <w:proofErr w:type="spellEnd"/>
            <w:r w:rsidRPr="001B4C32">
              <w:rPr>
                <w:rFonts w:cs="Tahoma"/>
                <w:sz w:val="20"/>
                <w:szCs w:val="20"/>
              </w:rPr>
              <w:t xml:space="preserve"> potok MS0222</w:t>
            </w:r>
          </w:p>
          <w:p w14:paraId="705EF6A8" w14:textId="77777777" w:rsidR="00681DFA" w:rsidRPr="00A52012" w:rsidRDefault="00681DFA" w:rsidP="00681DF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r>
              <w:rPr>
                <w:rFonts w:ascii="Arial" w:hAnsi="Arial" w:cs="Arial"/>
                <w:b w:val="0"/>
                <w:sz w:val="20"/>
                <w:szCs w:val="20"/>
              </w:rPr>
              <w:t>Obstoječi most</w:t>
            </w:r>
            <w:r w:rsidRPr="00A52012">
              <w:rPr>
                <w:rFonts w:ascii="Arial" w:hAnsi="Arial" w:cs="Arial"/>
                <w:b w:val="0"/>
                <w:sz w:val="20"/>
                <w:szCs w:val="20"/>
              </w:rPr>
              <w:t xml:space="preserve"> čez </w:t>
            </w:r>
            <w:proofErr w:type="spellStart"/>
            <w:r w:rsidRPr="00A52012">
              <w:rPr>
                <w:rFonts w:ascii="Arial" w:hAnsi="Arial" w:cs="Arial"/>
                <w:b w:val="0"/>
                <w:sz w:val="20"/>
                <w:szCs w:val="20"/>
              </w:rPr>
              <w:t>Borosni</w:t>
            </w:r>
            <w:proofErr w:type="spellEnd"/>
            <w:r w:rsidRPr="00A52012">
              <w:rPr>
                <w:rFonts w:ascii="Arial" w:hAnsi="Arial" w:cs="Arial"/>
                <w:b w:val="0"/>
                <w:sz w:val="20"/>
                <w:szCs w:val="20"/>
              </w:rPr>
              <w:t xml:space="preserve"> potok v Mostju v km 9,860 </w:t>
            </w:r>
            <w:r>
              <w:rPr>
                <w:rFonts w:ascii="Arial" w:hAnsi="Arial" w:cs="Arial"/>
                <w:b w:val="0"/>
                <w:sz w:val="20"/>
                <w:szCs w:val="20"/>
              </w:rPr>
              <w:t>je armiranobetonski s prekladno konstrukcijo preko enega polja razpetine 10,60m</w:t>
            </w:r>
            <w:r w:rsidRPr="00A52012">
              <w:rPr>
                <w:rFonts w:ascii="Arial" w:hAnsi="Arial" w:cs="Arial"/>
                <w:b w:val="0"/>
                <w:sz w:val="20"/>
                <w:szCs w:val="20"/>
              </w:rPr>
              <w:t xml:space="preserve">. </w:t>
            </w:r>
            <w:r>
              <w:rPr>
                <w:rFonts w:ascii="Arial" w:hAnsi="Arial" w:cs="Arial"/>
                <w:b w:val="0"/>
                <w:sz w:val="20"/>
                <w:szCs w:val="20"/>
              </w:rPr>
              <w:t xml:space="preserve">Konstrukcija mostu je v slabem stanju in dotrajana. Most nima urejenih hodnikov za pešce in kolesarje. Prometna varnost je slaba. Obstoječi most se bo porušil in na istem mestu izvedel nadomestni most preko enega polja svetle razpetine med oporniki 10,00m. Most bo temeljen na uvrtanih AB pilotih. Konstrukcija mostu je iz AB opornikov, prekladne konstrukcije, hodnikov ter vso potrebno prometno opremo za zagotovitev ustrezne prometne varnosti. Istočasno se bo rekonstruiral odsek ceste v dolžini 222m od km 9,7+90 do km 9,9+22. </w:t>
            </w:r>
            <w:r w:rsidRPr="00A52012">
              <w:rPr>
                <w:rFonts w:ascii="Arial" w:hAnsi="Arial" w:cs="Arial"/>
                <w:b w:val="0"/>
                <w:sz w:val="20"/>
                <w:szCs w:val="20"/>
              </w:rPr>
              <w:t>Na območju mostu se niveleta rekonstruirane ceste dvigne za 0,80m.</w:t>
            </w:r>
          </w:p>
          <w:p w14:paraId="06297B0E" w14:textId="77777777" w:rsidR="00681DFA" w:rsidRDefault="00681DFA" w:rsidP="00681DFA">
            <w:pPr>
              <w:jc w:val="both"/>
              <w:rPr>
                <w:rFonts w:ascii="Arial" w:hAnsi="Arial" w:cs="Arial"/>
                <w:b/>
                <w:noProof/>
                <w:lang w:eastAsia="sl-SI"/>
              </w:rPr>
            </w:pPr>
            <w:r w:rsidRPr="00A52012">
              <w:rPr>
                <w:rFonts w:ascii="Tahoma" w:hAnsi="Tahoma" w:cs="Tahoma"/>
                <w:sz w:val="20"/>
                <w:szCs w:val="20"/>
              </w:rPr>
              <w:t>Za čas gradnje novega mostu bo promet iz regionalne ceste R2 voden na začasni obvoz z začasnim mostom tipa Mabey dolžine 18,29 m . Začasni most bo postavljen na gor vodni strani objekta. Začasno bo vzpostavljen izmenično enosmerni promet urejen s semaforjem.</w:t>
            </w:r>
          </w:p>
          <w:p w14:paraId="5036528D" w14:textId="77777777" w:rsidR="005348AC" w:rsidRDefault="005348AC" w:rsidP="001B4C32">
            <w:pPr>
              <w:pStyle w:val="len"/>
              <w:keepNext w:val="0"/>
              <w:pBdr>
                <w:top w:val="none" w:sz="0" w:space="0" w:color="auto"/>
                <w:left w:val="none" w:sz="0" w:space="0" w:color="auto"/>
                <w:bottom w:val="none" w:sz="0" w:space="0" w:color="auto"/>
                <w:right w:val="none" w:sz="0" w:space="0" w:color="auto"/>
              </w:pBdr>
              <w:spacing w:before="120" w:line="240" w:lineRule="atLeast"/>
              <w:ind w:left="0" w:right="0" w:firstLine="0"/>
              <w:jc w:val="left"/>
              <w:rPr>
                <w:rFonts w:cs="Tahoma"/>
                <w:b w:val="0"/>
                <w:sz w:val="20"/>
                <w:szCs w:val="20"/>
              </w:rPr>
            </w:pPr>
          </w:p>
          <w:p w14:paraId="01140849" w14:textId="77777777" w:rsidR="001B4C32" w:rsidRPr="001B4C32" w:rsidRDefault="001B4C32" w:rsidP="001B4C32">
            <w:pPr>
              <w:pStyle w:val="len"/>
              <w:keepNext w:val="0"/>
              <w:pBdr>
                <w:top w:val="none" w:sz="0" w:space="0" w:color="auto"/>
                <w:left w:val="none" w:sz="0" w:space="0" w:color="auto"/>
                <w:bottom w:val="none" w:sz="0" w:space="0" w:color="auto"/>
                <w:right w:val="none" w:sz="0" w:space="0" w:color="auto"/>
              </w:pBdr>
              <w:spacing w:before="120" w:line="240" w:lineRule="atLeast"/>
              <w:ind w:left="0" w:right="0" w:firstLine="0"/>
              <w:jc w:val="left"/>
              <w:rPr>
                <w:rFonts w:cs="Tahoma"/>
                <w:noProof/>
                <w:sz w:val="20"/>
                <w:szCs w:val="20"/>
                <w:lang w:eastAsia="sl-SI"/>
              </w:rPr>
            </w:pPr>
            <w:r w:rsidRPr="001B4C32">
              <w:rPr>
                <w:rFonts w:cs="Tahoma"/>
                <w:noProof/>
                <w:sz w:val="20"/>
                <w:szCs w:val="20"/>
                <w:lang w:eastAsia="sl-SI"/>
              </w:rPr>
              <w:t>Most čez Kobiljski potok MS0221</w:t>
            </w:r>
          </w:p>
        </w:tc>
      </w:tr>
    </w:tbl>
    <w:p w14:paraId="221A91DE" w14:textId="77777777" w:rsidR="00681DFA" w:rsidRPr="00A52012" w:rsidRDefault="00681DFA" w:rsidP="00681DF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r>
        <w:rPr>
          <w:rFonts w:ascii="Arial" w:hAnsi="Arial" w:cs="Arial"/>
          <w:b w:val="0"/>
          <w:sz w:val="20"/>
          <w:szCs w:val="20"/>
        </w:rPr>
        <w:t>Obstoječi most</w:t>
      </w:r>
      <w:r w:rsidRPr="00A52012">
        <w:rPr>
          <w:rFonts w:ascii="Arial" w:hAnsi="Arial" w:cs="Arial"/>
          <w:b w:val="0"/>
          <w:sz w:val="20"/>
          <w:szCs w:val="20"/>
        </w:rPr>
        <w:t xml:space="preserve"> čez </w:t>
      </w:r>
      <w:proofErr w:type="spellStart"/>
      <w:r>
        <w:rPr>
          <w:rFonts w:ascii="Arial" w:hAnsi="Arial" w:cs="Arial"/>
          <w:b w:val="0"/>
          <w:sz w:val="20"/>
          <w:szCs w:val="20"/>
        </w:rPr>
        <w:t>Kobiljski</w:t>
      </w:r>
      <w:proofErr w:type="spellEnd"/>
      <w:r w:rsidRPr="00A52012">
        <w:rPr>
          <w:rFonts w:ascii="Arial" w:hAnsi="Arial" w:cs="Arial"/>
          <w:b w:val="0"/>
          <w:sz w:val="20"/>
          <w:szCs w:val="20"/>
        </w:rPr>
        <w:t xml:space="preserve"> potok v Mostju v km 9,</w:t>
      </w:r>
      <w:r>
        <w:rPr>
          <w:rFonts w:ascii="Arial" w:hAnsi="Arial" w:cs="Arial"/>
          <w:b w:val="0"/>
          <w:sz w:val="20"/>
          <w:szCs w:val="20"/>
        </w:rPr>
        <w:t>710</w:t>
      </w:r>
      <w:r w:rsidRPr="00A52012">
        <w:rPr>
          <w:rFonts w:ascii="Arial" w:hAnsi="Arial" w:cs="Arial"/>
          <w:b w:val="0"/>
          <w:sz w:val="20"/>
          <w:szCs w:val="20"/>
        </w:rPr>
        <w:t xml:space="preserve"> </w:t>
      </w:r>
      <w:r>
        <w:rPr>
          <w:rFonts w:ascii="Arial" w:hAnsi="Arial" w:cs="Arial"/>
          <w:b w:val="0"/>
          <w:sz w:val="20"/>
          <w:szCs w:val="20"/>
        </w:rPr>
        <w:t xml:space="preserve">je dolžine 22,00 m in širine 7,10 m in poteka preko dveh polj. </w:t>
      </w:r>
      <w:r w:rsidRPr="00A52012">
        <w:rPr>
          <w:rFonts w:ascii="Arial" w:hAnsi="Arial" w:cs="Arial"/>
          <w:b w:val="0"/>
          <w:sz w:val="20"/>
          <w:szCs w:val="20"/>
        </w:rPr>
        <w:t xml:space="preserve"> </w:t>
      </w:r>
      <w:r>
        <w:rPr>
          <w:rFonts w:ascii="Arial" w:hAnsi="Arial" w:cs="Arial"/>
          <w:b w:val="0"/>
          <w:sz w:val="20"/>
          <w:szCs w:val="20"/>
        </w:rPr>
        <w:t xml:space="preserve">Konstrukcija mostu je v slabem stanju in dotrajana. Most nima urejenih hodnikov za pešce in kolesarje. Prometna varnost je slaba. Obstoječi most se bo porušil in na istem mestu izvedel nadomestni most preko enega polja svetle razpetine med oporniki 19,50m. Most bo temeljen na uvrtanih AB pilotih. Konstrukcija mostu je iz AB opornikov, prekladne konstrukcije, hodnikov ter vso potrebno prometno opremo za zagotovitev ustrezne prometne varnosti. Istočasno se bo rekonstruiral odsek ceste v dolžini 240m od km 9,6+30 do km 9,7+90. </w:t>
      </w:r>
      <w:r w:rsidRPr="00A52012">
        <w:rPr>
          <w:rFonts w:ascii="Arial" w:hAnsi="Arial" w:cs="Arial"/>
          <w:b w:val="0"/>
          <w:sz w:val="20"/>
          <w:szCs w:val="20"/>
        </w:rPr>
        <w:t>Na območju mostu se niveleta rekonstruirane ceste dvigne za 0,80m.</w:t>
      </w:r>
    </w:p>
    <w:p w14:paraId="705AC591" w14:textId="77777777" w:rsidR="00681DFA" w:rsidRDefault="00681DFA" w:rsidP="00681DFA">
      <w:pPr>
        <w:jc w:val="both"/>
        <w:rPr>
          <w:rFonts w:ascii="Arial" w:hAnsi="Arial" w:cs="Arial"/>
          <w:b/>
          <w:noProof/>
          <w:lang w:eastAsia="sl-SI"/>
        </w:rPr>
      </w:pPr>
      <w:r w:rsidRPr="00A52012">
        <w:rPr>
          <w:rFonts w:ascii="Tahoma" w:hAnsi="Tahoma" w:cs="Tahoma"/>
          <w:sz w:val="20"/>
          <w:szCs w:val="20"/>
        </w:rPr>
        <w:t xml:space="preserve">Za čas gradnje novega mostu bo promet iz regionalne ceste R2 voden na začasni obvoz z začasnim mostom tipa Mabey dolžine </w:t>
      </w:r>
      <w:r>
        <w:rPr>
          <w:rFonts w:ascii="Tahoma" w:hAnsi="Tahoma" w:cs="Tahoma"/>
          <w:sz w:val="20"/>
          <w:szCs w:val="20"/>
        </w:rPr>
        <w:t>33,50</w:t>
      </w:r>
      <w:r w:rsidRPr="00A52012">
        <w:rPr>
          <w:rFonts w:ascii="Tahoma" w:hAnsi="Tahoma" w:cs="Tahoma"/>
          <w:sz w:val="20"/>
          <w:szCs w:val="20"/>
        </w:rPr>
        <w:t>m . Začasni most bo postavljen na gor vodni strani objekta. Začasno bo vzpostavljen izmenično enosmerni promet urejen s semaforjem.</w:t>
      </w:r>
    </w:p>
    <w:p w14:paraId="1604AEB2" w14:textId="25CAC5E8" w:rsidR="00545C01" w:rsidRPr="001B4C32" w:rsidRDefault="00545C01" w:rsidP="00545C01">
      <w:pPr>
        <w:spacing w:before="60" w:line="240" w:lineRule="atLeast"/>
        <w:jc w:val="both"/>
        <w:rPr>
          <w:rFonts w:ascii="Tahoma" w:hAnsi="Tahoma" w:cs="Tahoma"/>
          <w:sz w:val="20"/>
          <w:szCs w:val="20"/>
        </w:rPr>
      </w:pPr>
    </w:p>
    <w:sectPr w:rsidR="00545C01" w:rsidRPr="001B4C3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9486" w14:textId="77777777" w:rsidR="003579E8" w:rsidRDefault="003579E8">
      <w:r>
        <w:separator/>
      </w:r>
    </w:p>
  </w:endnote>
  <w:endnote w:type="continuationSeparator" w:id="0">
    <w:p w14:paraId="13CFCD6D" w14:textId="77777777" w:rsidR="003579E8" w:rsidRDefault="003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B4C32">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311D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8E60" w14:textId="77777777" w:rsidR="003579E8" w:rsidRDefault="003579E8">
      <w:r>
        <w:separator/>
      </w:r>
    </w:p>
  </w:footnote>
  <w:footnote w:type="continuationSeparator" w:id="0">
    <w:p w14:paraId="5831E37F" w14:textId="77777777" w:rsidR="003579E8" w:rsidRDefault="0035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A4"/>
    <w:rsid w:val="000646A9"/>
    <w:rsid w:val="00160920"/>
    <w:rsid w:val="001836BB"/>
    <w:rsid w:val="001B4C32"/>
    <w:rsid w:val="00216549"/>
    <w:rsid w:val="002507C2"/>
    <w:rsid w:val="00290551"/>
    <w:rsid w:val="002B0ED1"/>
    <w:rsid w:val="003133A6"/>
    <w:rsid w:val="003560E2"/>
    <w:rsid w:val="003579C0"/>
    <w:rsid w:val="003579E8"/>
    <w:rsid w:val="003B2180"/>
    <w:rsid w:val="00424A5A"/>
    <w:rsid w:val="0044323F"/>
    <w:rsid w:val="0047114A"/>
    <w:rsid w:val="004A2481"/>
    <w:rsid w:val="004B34B5"/>
    <w:rsid w:val="004E10B3"/>
    <w:rsid w:val="004E5EC6"/>
    <w:rsid w:val="005348AC"/>
    <w:rsid w:val="00545C01"/>
    <w:rsid w:val="00556816"/>
    <w:rsid w:val="005C3A26"/>
    <w:rsid w:val="005E6BB7"/>
    <w:rsid w:val="00634B0D"/>
    <w:rsid w:val="00637BE6"/>
    <w:rsid w:val="00681DFA"/>
    <w:rsid w:val="006D4A25"/>
    <w:rsid w:val="006D527B"/>
    <w:rsid w:val="007311D3"/>
    <w:rsid w:val="00744EFC"/>
    <w:rsid w:val="007833E8"/>
    <w:rsid w:val="00875686"/>
    <w:rsid w:val="008757A1"/>
    <w:rsid w:val="008B4556"/>
    <w:rsid w:val="0092418D"/>
    <w:rsid w:val="009675C0"/>
    <w:rsid w:val="009B1FD9"/>
    <w:rsid w:val="00A05C73"/>
    <w:rsid w:val="00A17575"/>
    <w:rsid w:val="00A366BE"/>
    <w:rsid w:val="00A7392B"/>
    <w:rsid w:val="00AC1BB2"/>
    <w:rsid w:val="00AD3747"/>
    <w:rsid w:val="00AD3B02"/>
    <w:rsid w:val="00B305D7"/>
    <w:rsid w:val="00B948DA"/>
    <w:rsid w:val="00BF1A18"/>
    <w:rsid w:val="00C04EF1"/>
    <w:rsid w:val="00C64C56"/>
    <w:rsid w:val="00CF3DD0"/>
    <w:rsid w:val="00D4256E"/>
    <w:rsid w:val="00DB7CDA"/>
    <w:rsid w:val="00E51016"/>
    <w:rsid w:val="00E66D5B"/>
    <w:rsid w:val="00E813F4"/>
    <w:rsid w:val="00EA1375"/>
    <w:rsid w:val="00F90B5D"/>
    <w:rsid w:val="00FA1E40"/>
    <w:rsid w:val="00FA270B"/>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981B80"/>
  <w15:docId w15:val="{73B68A8C-C687-4B83-BC7D-A9A775E0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1B4C32"/>
    <w:pPr>
      <w:keepNext/>
      <w:keepLines/>
      <w:spacing w:before="200"/>
      <w:outlineLvl w:val="4"/>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1B4C32"/>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1B4C32"/>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2129</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Draga Mandić</dc:creator>
  <cp:lastModifiedBy>Administrator</cp:lastModifiedBy>
  <cp:revision>11</cp:revision>
  <cp:lastPrinted>2024-03-08T13:28:00Z</cp:lastPrinted>
  <dcterms:created xsi:type="dcterms:W3CDTF">2024-01-06T08:51:00Z</dcterms:created>
  <dcterms:modified xsi:type="dcterms:W3CDTF">2024-03-08T13:28:00Z</dcterms:modified>
</cp:coreProperties>
</file>